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Публичная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оферта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нижеприведенные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375" w:after="22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Термины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определения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предприниматель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акцептует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Акцепт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Оферты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безоговорочное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akvarel-cvetov.ru;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цветочнаяакварель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1.6.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флористических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совокупность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кашпо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сладости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1.7.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Получатель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мягкие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1.8.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акцептует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оферту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сезонных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нижеследующем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375" w:after="22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Договора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прейскурантом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каталогами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сопутствующих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отдаленных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сезонных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свадебные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эксклюзивные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предпраздничные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нерабочее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Подробное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регистрационную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ПолучателеТовара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пожелания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оставаясь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заранее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менеджером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проконсультирует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27.07.2006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рассылки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каталогов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спепредложениях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375" w:after="22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Права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обязанности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освобождается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фотосъемки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ненадлежащего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ненадлежащим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денежных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уплаченных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24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двадцатичетырех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удержанием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70 %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Семьдесят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Удержать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несуществующего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неполного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оплачивает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уплаченной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неверного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http://akvarel-cvetov.ru/payment</w:t>
        </w:r>
      </w:hyperlink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Возмещать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akvarel-cvetov.ru;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цветочнаяакварель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рф</w:t>
      </w:r>
    </w:p>
    <w:p>
      <w:pPr>
        <w:spacing w:before="375" w:after="22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условия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предусмотренных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вытекающих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удостоверяет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akvarel-cvetov.ru;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цветочнаяакварель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уяснил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толкованию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законодательством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отлучился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Домофон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проживает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Курьеру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затруднений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связывается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обговаривает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подробнее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http://akvarel-cvetov.ru/delivery</w:t>
        </w:r>
      </w:hyperlink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Составление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букета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замена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цветов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выбрали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каталоге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флористами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похожим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флористами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незначительное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отклонение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гарантируем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прописанному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менеджер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связаться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флорист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равноценные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качеству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задержек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незамедлительно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флористы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подбирают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похожие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схожий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ВОЗВРАТ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СРЕЗАННЫХ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ГОРШЕЧНЫХ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РАСТЕНИЙ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07.02.1992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2300-1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25.10.2007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19.01.1998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27.03.2007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горшечные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непродовольственных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магазина  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ненадлежащего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497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")</w:t>
      </w: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FF0066"/>
          <w:spacing w:val="0"/>
          <w:position w:val="0"/>
          <w:sz w:val="28"/>
          <w:shd w:fill="auto" w:val="clear"/>
        </w:rPr>
      </w:pPr>
    </w:p>
    <w:p>
      <w:pPr>
        <w:spacing w:before="375" w:after="22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Реквизиты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Продавца:</w:t>
      </w:r>
    </w:p>
    <w:p>
      <w:pPr>
        <w:spacing w:before="0" w:after="240" w:line="3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магазин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http://akvarel-cvetov.ru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СТУДИИ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603162,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Нижний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Новгород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Первоцветная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ЭЛЕКТРОННЫЙ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akvarel-cvetov@yandex.ru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НОМЕРА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ТЕЛЕФОНОВ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8(831)423-33-12, 8(929)053-33-12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8:00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20:00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kvarel-cvetov.ru/delivery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akvarel-cvetov.ru/payment" Id="docRId0" Type="http://schemas.openxmlformats.org/officeDocument/2006/relationships/hyperlink" /><Relationship TargetMode="External" Target="http://akvarel-cvetov.ru/" Id="docRId2" Type="http://schemas.openxmlformats.org/officeDocument/2006/relationships/hyperlink" /><Relationship Target="styles.xml" Id="docRId4" Type="http://schemas.openxmlformats.org/officeDocument/2006/relationships/styles" /></Relationships>
</file>